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08" w:rsidRPr="006C081C" w:rsidRDefault="002F2308" w:rsidP="00A018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F2308" w:rsidRDefault="002F2308" w:rsidP="00E07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2F2308" w:rsidRDefault="002F2308" w:rsidP="00E07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2F2308" w:rsidRDefault="002F2308" w:rsidP="00E07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міської ради</w:t>
      </w:r>
    </w:p>
    <w:p w:rsidR="002F2308" w:rsidRDefault="002F2308" w:rsidP="00E07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E777B">
        <w:rPr>
          <w:rFonts w:ascii="Times New Roman" w:hAnsi="Times New Roman" w:cs="Times New Roman"/>
          <w:sz w:val="24"/>
          <w:szCs w:val="24"/>
          <w:lang w:val="uk-UA"/>
        </w:rPr>
        <w:t xml:space="preserve">25 травня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2017 р.</w:t>
      </w:r>
    </w:p>
    <w:p w:rsidR="002F2308" w:rsidRPr="00CE777B" w:rsidRDefault="00CE777B" w:rsidP="00E07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774-32-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</w:p>
    <w:p w:rsidR="002F2308" w:rsidRPr="006C081C" w:rsidRDefault="002F2308" w:rsidP="00A018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  </w:t>
      </w:r>
    </w:p>
    <w:p w:rsidR="002F2308" w:rsidRPr="006C081C" w:rsidRDefault="002F2308" w:rsidP="00A01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Програма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2F2308" w:rsidRPr="006C081C" w:rsidRDefault="002F2308" w:rsidP="00A0189F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6C081C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 фінансової підтримки комунальних підприємств та здійснення внесків до статутних фондів (поповнення Статутного фонду) комунальних підприємств Білоцерківської міської ради на 2017 рік  та прогноз на 2018-2021 рр.</w:t>
      </w:r>
    </w:p>
    <w:p w:rsidR="002F2308" w:rsidRPr="006C081C" w:rsidRDefault="002F2308" w:rsidP="00A01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Паспорт Програми</w:t>
      </w:r>
    </w:p>
    <w:tbl>
      <w:tblPr>
        <w:tblW w:w="9781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0"/>
        <w:gridCol w:w="3871"/>
        <w:gridCol w:w="5580"/>
      </w:tblGrid>
      <w:tr w:rsidR="002F2308" w:rsidRPr="00CE777B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1.</w:t>
            </w:r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програми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2308" w:rsidRPr="007E27EC" w:rsidRDefault="002F2308" w:rsidP="00A0189F">
            <w:pPr>
              <w:tabs>
                <w:tab w:val="left" w:pos="1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E27E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Програма  фінансової підтримки комунальних підприємств та здійснення внесків до статутних фондів (поповнення Статутного фонду) комунальних підприємств Білоцерківської міської ради на 2017 рік  та прогноз на 2018-2021 рр.</w:t>
            </w:r>
          </w:p>
        </w:tc>
      </w:tr>
      <w:tr w:rsidR="002F2308" w:rsidRPr="007E27E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Нормативно-</w:t>
            </w: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правова база Програми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Бюджетний кодекс України, Господарський кодекс України, закони України  </w:t>
            </w: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«Про житлово-комунальні послуги», «Про відновлення платоспроможності боржника або визнання його банкрутом»</w:t>
            </w:r>
          </w:p>
        </w:tc>
      </w:tr>
      <w:tr w:rsidR="002F2308" w:rsidRPr="007E27E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</w:t>
            </w:r>
          </w:p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Король Андрій Петрович</w:t>
            </w:r>
          </w:p>
        </w:tc>
      </w:tr>
      <w:tr w:rsidR="002F2308" w:rsidRPr="00CE777B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Комунальні підприємства Білоцерківської міської ради </w:t>
            </w:r>
          </w:p>
        </w:tc>
      </w:tr>
      <w:tr w:rsidR="002F2308" w:rsidRPr="007E27E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Замовник Програми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міської ради</w:t>
            </w:r>
          </w:p>
        </w:tc>
      </w:tr>
      <w:tr w:rsidR="002F2308" w:rsidRPr="00CE777B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 Програми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розпорядники бюджетних коштів ,  комунальні підприємства Білоцерківської міської ради </w:t>
            </w:r>
          </w:p>
        </w:tc>
      </w:tr>
      <w:tr w:rsidR="002F2308" w:rsidRPr="007E27E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 роки</w:t>
            </w:r>
          </w:p>
        </w:tc>
      </w:tr>
      <w:tr w:rsidR="002F2308" w:rsidRPr="00CE777B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етап – 2017 рік</w:t>
            </w: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ІІ етап – 2018 рік</w:t>
            </w: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ІІІ етап – 2019 рік</w:t>
            </w: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ІV етап – 2020 рік</w:t>
            </w: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V етап – 2021 рік</w:t>
            </w:r>
          </w:p>
        </w:tc>
      </w:tr>
      <w:tr w:rsidR="002F2308" w:rsidRPr="007E27E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Програми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 фінансування не заборонені законодавством</w:t>
            </w:r>
          </w:p>
        </w:tc>
      </w:tr>
      <w:tr w:rsidR="002F2308" w:rsidRPr="007E27E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Програми: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8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окремим рішенням Білоцерківської міської ради</w:t>
            </w:r>
          </w:p>
        </w:tc>
      </w:tr>
      <w:tr w:rsidR="002F2308" w:rsidRPr="007E27EC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2308" w:rsidRPr="006C081C" w:rsidRDefault="002F2308" w:rsidP="00A0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2308" w:rsidRPr="006C081C" w:rsidRDefault="002F2308" w:rsidP="00A018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F2308" w:rsidRPr="006C081C" w:rsidRDefault="002F2308" w:rsidP="00A018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F2308" w:rsidRPr="006C081C" w:rsidRDefault="002F2308" w:rsidP="00A01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Вступ</w:t>
      </w:r>
    </w:p>
    <w:p w:rsidR="002F2308" w:rsidRPr="006C081C" w:rsidRDefault="002F2308" w:rsidP="00A01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lang w:val="uk-UA"/>
        </w:rPr>
        <w:br/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         В основі ринкового саморегулювання є свобода підприємств без обмежень самостійно здійснювати будь-яку незаборонену законом господарську діяльність, що забезпечує ефективний розподіл ресурсів, тобто їх спрямування на виробництво послуг, які найбільше потрібні суспільству. Однак, у разі, коли ринкові механізми не забезпечують оптимального використання ресурсів – внаслідок неспроможності конкуренції, або неспроможності ринку забезпечити людей суспільними благами, чи через недосконалість інформації, економічну 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стабільність, неповноту ринків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тощо – виникають такі поняття як вади ринку. </w:t>
      </w:r>
    </w:p>
    <w:p w:rsidR="002F2308" w:rsidRPr="006C081C" w:rsidRDefault="002F2308" w:rsidP="00A018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C081C">
        <w:rPr>
          <w:sz w:val="24"/>
          <w:szCs w:val="24"/>
          <w:lang w:val="uk-UA"/>
        </w:rPr>
        <w:t xml:space="preserve">        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На сьогодні актуальним є визначення теоретичних засад та ключових аспектів практичного застосування засобів державного регулювання економіки, які віднесені до компетенції органів місцевого самоврядування у сфері житлово-комунального господарства та інших галузей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які суттєво впливають на життєдіяльність міста.</w:t>
      </w:r>
    </w:p>
    <w:p w:rsidR="002F2308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Таким чином, створення умов для ефективного функціонування ринків надання житлово-комунальних </w:t>
      </w:r>
      <w:r>
        <w:rPr>
          <w:rFonts w:ascii="Times New Roman" w:hAnsi="Times New Roman" w:cs="Times New Roman"/>
          <w:sz w:val="24"/>
          <w:szCs w:val="24"/>
          <w:lang w:val="uk-UA"/>
        </w:rPr>
        <w:t>та інших послуг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є одним із найбільш актуальних завдань, які стоять сьогодні перед міською радою.</w:t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Комунальні підприємства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, бю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джетні установи та організації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утворюються рішенням міської ради на базі відокремленої частини комунальної власності і входять до сфери його управління. </w:t>
      </w:r>
    </w:p>
    <w:p w:rsidR="002F2308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          Майно комунального підприємства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бюджетних установ та організацій перебуває у комунальній власності і закріплюється за підприємством на праві господарського  відання. </w:t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          Право господарського відання є правом комунального підприємства, бю</w:t>
      </w:r>
      <w:r>
        <w:rPr>
          <w:rFonts w:ascii="Times New Roman" w:hAnsi="Times New Roman" w:cs="Times New Roman"/>
          <w:sz w:val="24"/>
          <w:szCs w:val="24"/>
          <w:lang w:val="uk-UA"/>
        </w:rPr>
        <w:t>джетної установи та організації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володіти, користуватися і розпоряджатися майном, закріпленим за ним власником </w:t>
      </w:r>
      <w:r w:rsidRPr="00E0746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територіальною громадою міста в особі Білоцерківської міської ради), з обмеженням правомочності розпорядження майном за згодою власника. </w:t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          При цьому передача майна територіальної громади підприємству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організації на праві господарського відання не знімає з власника обов’язку щодо контролю за використанням та збереженням цього майна, оскільки діюче законодавство покладає на власника відповідальність за нього. </w:t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          Так, відповідно до статті 136 Господарського кодексу України власник майна, переданого на праві господарського відання, зобов’язаний здійснювати контроль за використанням та збереженням належного йому майна безпосередньо або через уповноважений ним орган.</w:t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         Відповідно, комунальні підприємства, бюджетні установи та організації відповідають за своїми зобов’язаннями лише коштами, що перебувають у їх розпорядженні. У разі недостат</w:t>
      </w:r>
      <w:r>
        <w:rPr>
          <w:rFonts w:ascii="Times New Roman" w:hAnsi="Times New Roman" w:cs="Times New Roman"/>
          <w:sz w:val="24"/>
          <w:szCs w:val="24"/>
          <w:lang w:val="uk-UA"/>
        </w:rPr>
        <w:t>ності зазначених коштів власник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несе відповідальність за зобов’язаннями комунальних підприємств.</w:t>
      </w:r>
    </w:p>
    <w:p w:rsidR="002F2308" w:rsidRPr="006C081C" w:rsidRDefault="002F2308" w:rsidP="00A0189F">
      <w:pPr>
        <w:pStyle w:val="a4"/>
        <w:jc w:val="both"/>
        <w:rPr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>         До сфер діяльності суб’єктів господарювання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які суттєво впливають на життєдіяльність міста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можна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віднести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надання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комунальних, ж</w:t>
      </w:r>
      <w:r>
        <w:rPr>
          <w:rFonts w:ascii="Times New Roman" w:hAnsi="Times New Roman" w:cs="Times New Roman"/>
          <w:sz w:val="24"/>
          <w:szCs w:val="24"/>
          <w:lang w:val="uk-UA"/>
        </w:rPr>
        <w:t>итлових, транспортних, медичних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, побутових </w:t>
      </w:r>
      <w:r>
        <w:rPr>
          <w:rFonts w:ascii="Times New Roman" w:hAnsi="Times New Roman" w:cs="Times New Roman"/>
          <w:sz w:val="24"/>
          <w:szCs w:val="24"/>
          <w:lang w:val="uk-UA"/>
        </w:rPr>
        <w:t>та інших послуг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. Крім цього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важли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напрям</w:t>
      </w:r>
      <w:r>
        <w:rPr>
          <w:rFonts w:ascii="Times New Roman" w:hAnsi="Times New Roman" w:cs="Times New Roman"/>
          <w:sz w:val="24"/>
          <w:szCs w:val="24"/>
          <w:lang w:val="uk-UA"/>
        </w:rPr>
        <w:t>ком є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здійснення контрол</w:t>
      </w:r>
      <w:r>
        <w:rPr>
          <w:rFonts w:ascii="Times New Roman" w:hAnsi="Times New Roman" w:cs="Times New Roman"/>
          <w:sz w:val="24"/>
          <w:szCs w:val="24"/>
          <w:lang w:val="uk-UA"/>
        </w:rPr>
        <w:t>ю за станом благоустрою в місті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, охорони громадського п</w:t>
      </w:r>
      <w:r>
        <w:rPr>
          <w:rFonts w:ascii="Times New Roman" w:hAnsi="Times New Roman" w:cs="Times New Roman"/>
          <w:sz w:val="24"/>
          <w:szCs w:val="24"/>
          <w:lang w:val="uk-UA"/>
        </w:rPr>
        <w:t>орядку та забезпечення безпеки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F2308" w:rsidRPr="006C081C" w:rsidRDefault="002F2308" w:rsidP="00A0189F">
      <w:pPr>
        <w:pStyle w:val="a4"/>
        <w:jc w:val="both"/>
        <w:rPr>
          <w:sz w:val="24"/>
          <w:szCs w:val="24"/>
          <w:lang w:val="uk-UA"/>
        </w:rPr>
      </w:pPr>
    </w:p>
    <w:p w:rsidR="002F2308" w:rsidRPr="006C081C" w:rsidRDefault="002F2308" w:rsidP="00A0189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b/>
          <w:bCs/>
          <w:sz w:val="24"/>
          <w:szCs w:val="24"/>
          <w:lang w:val="uk-UA"/>
        </w:rPr>
        <w:t>1. Обґрунтування необхідності Програми</w:t>
      </w:r>
    </w:p>
    <w:p w:rsidR="002F2308" w:rsidRPr="006C081C" w:rsidRDefault="002F2308" w:rsidP="00A0189F">
      <w:pPr>
        <w:tabs>
          <w:tab w:val="left" w:pos="11590"/>
        </w:tabs>
        <w:spacing w:after="0" w:line="240" w:lineRule="auto"/>
        <w:ind w:firstLine="708"/>
        <w:jc w:val="both"/>
        <w:rPr>
          <w:rFonts w:ascii="Times New Roman" w:hAnsi="Times New Roman" w:cs="Times New Roman"/>
          <w:lang w:val="uk-UA" w:eastAsia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Дана Програма спрямована на вирішення проблеми ефективного управління та наданн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я</w:t>
      </w: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фінансової підтримки з міського бюджету комунальним п</w:t>
      </w:r>
      <w:r>
        <w:rPr>
          <w:rFonts w:ascii="Times New Roman" w:hAnsi="Times New Roman" w:cs="Times New Roman"/>
          <w:lang w:val="uk-UA" w:eastAsia="uk-UA"/>
        </w:rPr>
        <w:t xml:space="preserve">ідприємствам </w:t>
      </w:r>
      <w:r w:rsidRPr="006C081C">
        <w:rPr>
          <w:rFonts w:ascii="Times New Roman" w:hAnsi="Times New Roman" w:cs="Times New Roman"/>
          <w:lang w:val="uk-UA" w:eastAsia="uk-UA"/>
        </w:rPr>
        <w:t xml:space="preserve">(надалі Підприємства). </w:t>
      </w:r>
    </w:p>
    <w:p w:rsidR="002F2308" w:rsidRPr="006C081C" w:rsidRDefault="002F2308" w:rsidP="00A0189F">
      <w:pPr>
        <w:tabs>
          <w:tab w:val="left" w:pos="115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Важливою проблемою у функціонуванні комунальних підприємств міста на сьогодні залишається накопичення кредиторської та дебіторської заборгованості, що негативно впливає на поточну діяльність підприємств, дестабілізує їх роботу і, як наслідок, призвод</w:t>
      </w:r>
      <w:r>
        <w:rPr>
          <w:rFonts w:ascii="Times New Roman" w:hAnsi="Times New Roman" w:cs="Times New Roman"/>
          <w:sz w:val="24"/>
          <w:szCs w:val="24"/>
          <w:lang w:val="uk-UA"/>
        </w:rPr>
        <w:t>ить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до зниження якісних і кількісних показників наданих послуг. Основними причинами наявності значних сум заборгованості стали: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- обмеженість обігових коштів на підприємствах для здійснення поточної діяльності внаслідок збільшення протягом дії встановлених тарифів вартості окремих складових собівартості виробництва і надання послуг, внаслідок прийняття відповідних рішень на державному рівні (зміна ставок податків і зборів, мінімального рівня заробітної плати, цін і тарифів на паливно-енергетичні ресурси);</w:t>
      </w:r>
    </w:p>
    <w:p w:rsidR="002F2308" w:rsidRPr="006C081C" w:rsidRDefault="002F2308" w:rsidP="00A0189F">
      <w:pPr>
        <w:tabs>
          <w:tab w:val="left" w:pos="115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> - відсутність механізму узгодження тарифів на енергоносії, які визначаються на державному рівні, та тарифів на послуги комунальних підприємств, які визначаються на місцевому рівні;</w:t>
      </w:r>
    </w:p>
    <w:p w:rsidR="002F2308" w:rsidRPr="006C081C" w:rsidRDefault="002F2308" w:rsidP="00AB5C6C">
      <w:pPr>
        <w:tabs>
          <w:tab w:val="left" w:pos="1159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uk-UA" w:eastAsia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>- низький рівень платоспроможності населення;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-  невідповідність рівня встановлених тарифів на послуги комунальних підприємств економічно обґрунтованим плановим витратам на їх виробництво і реалізацію;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- обмеженість коштів на підприємствах для проведення капітальних вкладень внаслідок збільшення за термін дії встановлених тарифів собівартості виробництва і надання відповідних житлово-комунальних послуг і зменшення сум прибутків, запланованих на фінансування заходів для переоснащення та відновлення виробничих </w:t>
      </w:r>
      <w:proofErr w:type="spellStart"/>
      <w:r w:rsidRPr="006C081C">
        <w:rPr>
          <w:rFonts w:ascii="Times New Roman" w:hAnsi="Times New Roman" w:cs="Times New Roman"/>
          <w:sz w:val="24"/>
          <w:szCs w:val="24"/>
          <w:lang w:val="uk-UA"/>
        </w:rPr>
        <w:t>потужностей</w:t>
      </w:r>
      <w:proofErr w:type="spellEnd"/>
      <w:r w:rsidRPr="006C081C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lastRenderedPageBreak/>
        <w:t>         - законодавча неврегульованість механізму застосування пені та штрафних санкцій для громадян-неплатників, а також механізму припинення (відключення) надання послуг.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Негативно впливає на якість послуг, які виробляють і надають комунальні підприємства міста, низький рівень інвестицій в житлово-комунальне господарство та обмеженість обігових коштів підприємств. На сьогодні комунальні підприємства перебувають у кризовому стані, про що, в першу чергу, свідчить збитковість їх роботи, а незадовільний фінансовий стан не дозволяє своєчасно модернізувати систему комунальних підприємств і забезпечити споживачів якісними комунальними та іншими послугами, спричиняє погіршення технічного стану виробничих </w:t>
      </w:r>
      <w:proofErr w:type="spellStart"/>
      <w:r w:rsidRPr="006C081C">
        <w:rPr>
          <w:rFonts w:ascii="Times New Roman" w:hAnsi="Times New Roman" w:cs="Times New Roman"/>
          <w:sz w:val="24"/>
          <w:szCs w:val="24"/>
          <w:lang w:val="uk-UA"/>
        </w:rPr>
        <w:t>потужностей</w:t>
      </w:r>
      <w:proofErr w:type="spellEnd"/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та підвищення рівня аварійності об’єктів.</w:t>
      </w:r>
    </w:p>
    <w:p w:rsidR="002F2308" w:rsidRPr="006C081C" w:rsidRDefault="002F2308" w:rsidP="00A0189F">
      <w:pPr>
        <w:tabs>
          <w:tab w:val="left" w:pos="115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Вирішення проблеми можливе шляхом реалізації  Програми  фінансової підтримки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комунальних п</w:t>
      </w: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ідприємств  та здійснення внесків до статутних фондів (поповнення Статутного фонду) комунальних підприємств Білоцерківської міської ради  на 2017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рік  та прогноз на 2018-2021 рр.</w:t>
      </w: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>(надалі Програма)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яка розроблена  відповідно до вимог  ст.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>91 Бюджетного кодексу України,  Закону України «Про місцеве самоврядування в Україні», «Про житлово-комунальні послуги» .</w:t>
      </w:r>
    </w:p>
    <w:p w:rsidR="002F2308" w:rsidRPr="006C081C" w:rsidRDefault="002F2308" w:rsidP="00A0189F">
      <w:pPr>
        <w:tabs>
          <w:tab w:val="left" w:pos="115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2F2308" w:rsidRPr="006C081C" w:rsidRDefault="002F2308" w:rsidP="00A0189F">
      <w:pPr>
        <w:tabs>
          <w:tab w:val="left" w:pos="115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</w:p>
    <w:p w:rsidR="002F2308" w:rsidRPr="006C081C" w:rsidRDefault="002F2308" w:rsidP="00A0189F">
      <w:pPr>
        <w:tabs>
          <w:tab w:val="left" w:pos="11590"/>
        </w:tabs>
        <w:spacing w:after="0" w:line="240" w:lineRule="auto"/>
        <w:jc w:val="center"/>
        <w:rPr>
          <w:b/>
          <w:bCs/>
          <w:lang w:val="uk-UA" w:eastAsia="uk-UA"/>
        </w:rPr>
      </w:pPr>
      <w:r w:rsidRPr="006C081C">
        <w:rPr>
          <w:rFonts w:ascii="Times New Roman" w:hAnsi="Times New Roman" w:cs="Times New Roman"/>
          <w:b/>
          <w:bCs/>
          <w:sz w:val="24"/>
          <w:szCs w:val="24"/>
          <w:lang w:val="uk-UA"/>
        </w:rPr>
        <w:t>2. Мета  Програми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           Метою цієї Програми є:</w:t>
      </w:r>
    </w:p>
    <w:p w:rsidR="002F2308" w:rsidRPr="006C081C" w:rsidRDefault="002F2308" w:rsidP="00A0189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визначення комплексу організаційних та економічних заходів, спрямованих на підтримку діяльності комунальних підприємств міста, сприяння поліпшенню фінансового становища комунальних підприємств  міста;</w:t>
      </w:r>
    </w:p>
    <w:p w:rsidR="002F2308" w:rsidRPr="006C081C" w:rsidRDefault="002F2308" w:rsidP="00A0189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>забезпечення стабільності роботи комунальних підприємств міста відповідно до їх функціональ</w:t>
      </w:r>
      <w:r>
        <w:rPr>
          <w:rFonts w:ascii="Times New Roman" w:hAnsi="Times New Roman" w:cs="Times New Roman"/>
          <w:sz w:val="24"/>
          <w:szCs w:val="24"/>
          <w:lang w:val="uk-UA"/>
        </w:rPr>
        <w:t>них призначень, виконання зобов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’язань з виплати заробітної плати працівникам,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забезпечення надійності та безпеки експлуатації будіве</w:t>
      </w:r>
      <w:r>
        <w:rPr>
          <w:rFonts w:ascii="Times New Roman" w:hAnsi="Times New Roman" w:cs="Times New Roman"/>
          <w:sz w:val="24"/>
          <w:szCs w:val="24"/>
          <w:lang w:val="uk-UA"/>
        </w:rPr>
        <w:t>ль, споруд та інженерних мереж ш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ляхом фінансо</w:t>
      </w:r>
      <w:r>
        <w:rPr>
          <w:rFonts w:ascii="Times New Roman" w:hAnsi="Times New Roman" w:cs="Times New Roman"/>
          <w:sz w:val="24"/>
          <w:szCs w:val="24"/>
          <w:lang w:val="uk-UA"/>
        </w:rPr>
        <w:t>вої підтримки господарських суб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’єктів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які перебувають у комунальній власності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Біла Церква.</w:t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308" w:rsidRPr="006C081C" w:rsidRDefault="002F2308" w:rsidP="00A0189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 Порядок  формування заходів </w:t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Фінансова підтримка на безповоротній основі надається:</w:t>
      </w:r>
    </w:p>
    <w:p w:rsidR="002F2308" w:rsidRPr="006C081C" w:rsidRDefault="002F2308" w:rsidP="00A0189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якщо збитки, нанесені підприємству стихійним лихом, перевищують суми </w:t>
      </w:r>
      <w:proofErr w:type="spellStart"/>
      <w:r w:rsidRPr="006C081C">
        <w:rPr>
          <w:rFonts w:ascii="Times New Roman" w:hAnsi="Times New Roman" w:cs="Times New Roman"/>
          <w:sz w:val="24"/>
          <w:szCs w:val="24"/>
          <w:lang w:val="uk-UA"/>
        </w:rPr>
        <w:t>відшкодувань</w:t>
      </w:r>
      <w:proofErr w:type="spellEnd"/>
      <w:r w:rsidRPr="006C081C">
        <w:rPr>
          <w:rFonts w:ascii="Times New Roman" w:hAnsi="Times New Roman" w:cs="Times New Roman"/>
          <w:sz w:val="24"/>
          <w:szCs w:val="24"/>
          <w:lang w:val="uk-UA"/>
        </w:rPr>
        <w:t>, передбачених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чинним законодавством про обов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’язкове страхування;</w:t>
      </w:r>
    </w:p>
    <w:p w:rsidR="002F2308" w:rsidRPr="006C081C" w:rsidRDefault="002F2308" w:rsidP="00A0189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>якщо відшкодування збитків окремим підприємствам, які через умови господарювання, установлені законодавством, не покривають витрат на виробництво товарів, що може привести до їх банкрутства;</w:t>
      </w:r>
    </w:p>
    <w:p w:rsidR="002F2308" w:rsidRPr="006C081C" w:rsidRDefault="002F2308" w:rsidP="00A0189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>для фінансування витрат на поновлення платоспроможності п</w:t>
      </w:r>
      <w:r>
        <w:rPr>
          <w:rFonts w:ascii="Times New Roman" w:hAnsi="Times New Roman" w:cs="Times New Roman"/>
          <w:sz w:val="24"/>
          <w:szCs w:val="24"/>
          <w:lang w:val="uk-UA"/>
        </w:rPr>
        <w:t>ідприємств, діяльність яких пов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’язана з суспільними інтересами.</w:t>
      </w:r>
    </w:p>
    <w:p w:rsidR="002F2308" w:rsidRPr="006C081C" w:rsidRDefault="002F2308" w:rsidP="0052479A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>У всіх інших випадках фінансова підтримка надається винятково на поворотній основі.</w:t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>При наданні поворотної фінансової допомоги розробляється окремий порядок.</w:t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>Критерії відбору підприємств для надання фінансової підтримки:</w:t>
      </w:r>
    </w:p>
    <w:p w:rsidR="002F2308" w:rsidRPr="006C081C" w:rsidRDefault="002F2308" w:rsidP="00A0189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>потенційна прибутковість;</w:t>
      </w:r>
    </w:p>
    <w:p w:rsidR="002F2308" w:rsidRPr="006C081C" w:rsidRDefault="002F2308" w:rsidP="00A0189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>фінансовий стан підприємства на момент розгляду та у перспективі;</w:t>
      </w:r>
    </w:p>
    <w:p w:rsidR="002F2308" w:rsidRPr="006C081C" w:rsidRDefault="002F2308" w:rsidP="00A0189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>відповідність продукції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послуг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, що випускається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надається виробниками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, державним пріоритетам.</w:t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308" w:rsidRPr="006C081C" w:rsidRDefault="002F2308" w:rsidP="00DD3FA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>Підприємства, які потребують фінансової підтримки для запобігання банкрутству, відновлення платоспроможності, оздоровлення ф</w:t>
      </w:r>
      <w:r>
        <w:rPr>
          <w:rFonts w:ascii="Times New Roman" w:hAnsi="Times New Roman" w:cs="Times New Roman"/>
          <w:sz w:val="24"/>
          <w:szCs w:val="24"/>
          <w:lang w:val="uk-UA"/>
        </w:rPr>
        <w:t>інансового стану, готують</w:t>
      </w:r>
      <w:r w:rsidRPr="00DD3FA8">
        <w:rPr>
          <w:rFonts w:ascii="Times New Roman" w:hAnsi="Times New Roman" w:cs="Times New Roman"/>
          <w:sz w:val="24"/>
          <w:szCs w:val="24"/>
          <w:lang w:val="uk-UA"/>
        </w:rPr>
        <w:t xml:space="preserve"> бізнес-план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и, </w:t>
      </w:r>
      <w:r w:rsidRPr="00C47BB2">
        <w:rPr>
          <w:rFonts w:ascii="Times New Roman" w:hAnsi="Times New Roman" w:cs="Times New Roman"/>
          <w:sz w:val="24"/>
          <w:szCs w:val="24"/>
          <w:lang w:val="uk-UA"/>
        </w:rPr>
        <w:t>плани санації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та подають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розгляду на комісію по здійсненню контролю за фінансово-господарською діяльністю підприємств комунальної власності міста. За результатами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розгляду висновки комісії погоджуються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управлінням економіки міської ради,  мі</w:t>
      </w:r>
      <w:r>
        <w:rPr>
          <w:rFonts w:ascii="Times New Roman" w:hAnsi="Times New Roman" w:cs="Times New Roman"/>
          <w:sz w:val="24"/>
          <w:szCs w:val="24"/>
          <w:lang w:val="uk-UA"/>
        </w:rPr>
        <w:t>ським фінансовим управлінням та затверджуються виконавчим комітетом Білоцерківської міської ради.</w:t>
      </w:r>
    </w:p>
    <w:p w:rsidR="002F2308" w:rsidRDefault="002F2308" w:rsidP="007B4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308" w:rsidRPr="006C081C" w:rsidRDefault="002F2308" w:rsidP="00A0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>При підтримці  пропозицій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заходів) виконавчим комітет</w:t>
      </w:r>
      <w:r>
        <w:rPr>
          <w:rFonts w:ascii="Times New Roman" w:hAnsi="Times New Roman" w:cs="Times New Roman"/>
          <w:sz w:val="24"/>
          <w:szCs w:val="24"/>
          <w:lang w:val="uk-UA"/>
        </w:rPr>
        <w:t>ом Білоцерківської міської ради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 головні розпорядники бюджетних коштів готую</w:t>
      </w:r>
      <w:r>
        <w:rPr>
          <w:rFonts w:ascii="Times New Roman" w:hAnsi="Times New Roman" w:cs="Times New Roman"/>
          <w:sz w:val="24"/>
          <w:szCs w:val="24"/>
          <w:lang w:val="uk-UA"/>
        </w:rPr>
        <w:t>ть проект рішення міської ради п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ро надання фінансової підтримки комунальни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для розгляду його на засіданнях  постійних комісій міської  ради з питань житлової політики, комунального господарства, транспорту і зв’язку, природокористування,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охоро</w:t>
      </w:r>
      <w:r>
        <w:rPr>
          <w:rFonts w:ascii="Times New Roman" w:hAnsi="Times New Roman" w:cs="Times New Roman"/>
          <w:sz w:val="24"/>
          <w:szCs w:val="24"/>
          <w:lang w:val="uk-UA"/>
        </w:rPr>
        <w:t>ни довкілля та енергозбереження;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з питань планування соціально-економічного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розвитку, бюджету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та фінансів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з подальшим винесенням його на  розгляд місь</w:t>
      </w:r>
      <w:r>
        <w:rPr>
          <w:rFonts w:ascii="Times New Roman" w:hAnsi="Times New Roman" w:cs="Times New Roman"/>
          <w:sz w:val="24"/>
          <w:szCs w:val="24"/>
          <w:lang w:val="uk-UA"/>
        </w:rPr>
        <w:t>кої ради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F2308" w:rsidRPr="006C081C" w:rsidRDefault="002F2308" w:rsidP="00DB109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b/>
          <w:bCs/>
          <w:sz w:val="24"/>
          <w:szCs w:val="24"/>
          <w:lang w:val="uk-UA"/>
        </w:rPr>
        <w:t>4. Моніторинг за виконанням Програми</w:t>
      </w:r>
    </w:p>
    <w:p w:rsidR="002F2308" w:rsidRPr="006C081C" w:rsidRDefault="002F2308" w:rsidP="00A0189F">
      <w:pPr>
        <w:tabs>
          <w:tab w:val="left" w:pos="11590"/>
        </w:tabs>
        <w:spacing w:after="0" w:line="240" w:lineRule="auto"/>
        <w:ind w:firstLine="708"/>
        <w:jc w:val="both"/>
        <w:rPr>
          <w:lang w:val="uk-UA" w:eastAsia="uk-UA"/>
        </w:rPr>
      </w:pPr>
    </w:p>
    <w:p w:rsidR="002F2308" w:rsidRPr="006C081C" w:rsidRDefault="002F2308" w:rsidP="00A0189F">
      <w:pPr>
        <w:tabs>
          <w:tab w:val="left" w:pos="1159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  <w:lang w:val="uk-UA" w:eastAsia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>Відповідальними виконавцями  Програми  є головні розпорядники коштів та  виконавчий комітет Білоцерківської міської ради.</w:t>
      </w:r>
    </w:p>
    <w:p w:rsidR="002F2308" w:rsidRPr="006C081C" w:rsidRDefault="002F2308" w:rsidP="00A0189F">
      <w:pPr>
        <w:tabs>
          <w:tab w:val="left" w:pos="115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>Координацію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виконання Програми здійснюють</w:t>
      </w: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відповідні головні розпорядники коштів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у підпорядкуванні яких знаходяться підприємства. </w:t>
      </w:r>
    </w:p>
    <w:p w:rsidR="002F2308" w:rsidRPr="006C081C" w:rsidRDefault="002F2308" w:rsidP="00A0189F">
      <w:pPr>
        <w:tabs>
          <w:tab w:val="left" w:pos="115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308" w:rsidRPr="006C081C" w:rsidRDefault="002F2308" w:rsidP="00A0189F">
      <w:pPr>
        <w:tabs>
          <w:tab w:val="left" w:pos="1159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b/>
          <w:bCs/>
          <w:sz w:val="24"/>
          <w:szCs w:val="24"/>
          <w:lang w:val="uk-UA"/>
        </w:rPr>
        <w:t>5. Фінансове забезпечення та обсяги фінансування Програми</w:t>
      </w:r>
    </w:p>
    <w:p w:rsidR="002F2308" w:rsidRPr="006C081C" w:rsidRDefault="002F2308" w:rsidP="00A0189F">
      <w:pPr>
        <w:tabs>
          <w:tab w:val="left" w:pos="115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</w:t>
      </w: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>Фінансування Програми здійснюється виключно за умови та в межах затверджених бюджетних призначень на її виконання рішенням про міський бюджет на відповідний рік (рішенням про внесення змін до міського бюджету на відповідний рік) згідно з розписом міського бюджету.</w:t>
      </w:r>
    </w:p>
    <w:p w:rsidR="002F2308" w:rsidRPr="006C081C" w:rsidRDefault="002F2308" w:rsidP="00A0189F">
      <w:pPr>
        <w:tabs>
          <w:tab w:val="left" w:pos="115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2F2308" w:rsidRPr="006C081C" w:rsidRDefault="002F2308" w:rsidP="00AC167D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b/>
          <w:bCs/>
          <w:sz w:val="24"/>
          <w:szCs w:val="24"/>
          <w:lang w:val="uk-UA"/>
        </w:rPr>
        <w:t>6.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6C081C">
        <w:rPr>
          <w:rFonts w:ascii="Times New Roman" w:hAnsi="Times New Roman" w:cs="Times New Roman"/>
          <w:b/>
          <w:bCs/>
          <w:sz w:val="24"/>
          <w:szCs w:val="24"/>
          <w:lang w:val="uk-UA"/>
        </w:rPr>
        <w:t>Очікувані результати</w:t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            Реалізація Програми дасть змогу забезпечити:</w:t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F2308" w:rsidRPr="006C081C" w:rsidRDefault="002F2308" w:rsidP="00CD15D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тале функціонування  Підприємств міста, збереження майна комунальної власності, яке знаходиться в  їх господарському віданні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308" w:rsidRPr="006C081C" w:rsidRDefault="002F2308" w:rsidP="00CD15D3">
      <w:pPr>
        <w:pStyle w:val="a4"/>
        <w:ind w:left="709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>-  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табільну роботу Підприємств  відповідно до їх функціональних призначень 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надання послуг  жителям  міста;</w:t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308" w:rsidRPr="006C081C" w:rsidRDefault="002F2308" w:rsidP="00CD15D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еззбитковість підприємств комунального господарства, їх відповідальність за як</w:t>
      </w:r>
      <w:r>
        <w:rPr>
          <w:rFonts w:ascii="Times New Roman" w:hAnsi="Times New Roman" w:cs="Times New Roman"/>
          <w:sz w:val="24"/>
          <w:szCs w:val="24"/>
          <w:lang w:val="uk-UA"/>
        </w:rPr>
        <w:t>ість обслуговування споживачів;</w:t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308" w:rsidRDefault="002F2308" w:rsidP="00CD15D3">
      <w:pPr>
        <w:pStyle w:val="af1"/>
        <w:tabs>
          <w:tab w:val="left" w:pos="1159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- збільшення обсягів  виробництва та надання послуг за рахунок зміцнення матеріально-технічної бази підприємств, придбання техніки;</w:t>
      </w:r>
    </w:p>
    <w:p w:rsidR="002F2308" w:rsidRPr="006C081C" w:rsidRDefault="002F2308" w:rsidP="00CD15D3">
      <w:pPr>
        <w:pStyle w:val="af1"/>
        <w:tabs>
          <w:tab w:val="left" w:pos="1159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2F2308" w:rsidRDefault="002F2308" w:rsidP="00CD15D3">
      <w:pPr>
        <w:pStyle w:val="af1"/>
        <w:tabs>
          <w:tab w:val="left" w:pos="115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- зменшення енерговитрат за рахунок встановлення енергозберігаючого обладнання;</w:t>
      </w:r>
    </w:p>
    <w:p w:rsidR="002F2308" w:rsidRPr="006C081C" w:rsidRDefault="002F2308" w:rsidP="00CD15D3">
      <w:pPr>
        <w:pStyle w:val="af1"/>
        <w:tabs>
          <w:tab w:val="left" w:pos="115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2F2308" w:rsidRPr="006C081C" w:rsidRDefault="002F2308" w:rsidP="00CD15D3">
      <w:pPr>
        <w:pStyle w:val="af1"/>
        <w:tabs>
          <w:tab w:val="left" w:pos="115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- покращення якості послуг.</w:t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F2308" w:rsidRPr="006C081C" w:rsidRDefault="002F2308" w:rsidP="00A0189F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b/>
          <w:bCs/>
          <w:sz w:val="24"/>
          <w:szCs w:val="24"/>
          <w:lang w:val="uk-UA"/>
        </w:rPr>
        <w:t>7. Організація виконання та контрол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ь</w:t>
      </w:r>
      <w:r w:rsidRPr="006C08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ходом виконання Програми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      Виконання заходів Програми організовують головні розпорядники коштів міської ради. </w:t>
      </w:r>
    </w:p>
    <w:p w:rsidR="002F2308" w:rsidRPr="006C081C" w:rsidRDefault="002F2308" w:rsidP="00A0189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Контроль за виконанням Програми  здійснює виконавчий комітет Білоцерківської міської ради, міське фінансове управління Білоцерківської  міської ради,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постійна комісія міської ради з питань житлової політики, комунального господарства, транспорту і  зв’язку,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природокористування,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охорони довкілля та енергозбереження та  постійна  комісія міської ради з питань планування соціально-економічного  розвитку, бюджету   та фінансів. </w:t>
      </w:r>
    </w:p>
    <w:p w:rsidR="002F2308" w:rsidRDefault="002F2308" w:rsidP="00AC167D">
      <w:pP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2F2308" w:rsidRPr="006C081C" w:rsidRDefault="002F2308" w:rsidP="00AC167D">
      <w:pP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8. </w:t>
      </w:r>
      <w:r w:rsidRPr="006C081C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Завдання та Заходи Програми  фінансової підтримки комунальних підприємств та здійснення внесків до статутних фондів (поповнення Статутного фонду) комунальних підприємств Білоцерківської міської ради на 2017 рік  та прогноз на 2018-2021 рр.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2"/>
        <w:gridCol w:w="1134"/>
        <w:gridCol w:w="1560"/>
        <w:gridCol w:w="1492"/>
        <w:gridCol w:w="544"/>
        <w:gridCol w:w="1260"/>
        <w:gridCol w:w="1440"/>
        <w:gridCol w:w="735"/>
      </w:tblGrid>
      <w:tr w:rsidR="002F2308" w:rsidRPr="007E27EC">
        <w:trPr>
          <w:cantSplit/>
          <w:trHeight w:val="325"/>
        </w:trPr>
        <w:tc>
          <w:tcPr>
            <w:tcW w:w="851" w:type="dxa"/>
            <w:vMerge w:val="restart"/>
            <w:vAlign w:val="center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7E27EC">
              <w:rPr>
                <w:b/>
                <w:bCs/>
                <w:i/>
                <w:iCs/>
                <w:lang w:val="uk-UA" w:eastAsia="uk-UA"/>
              </w:rPr>
              <w:t>№ з/п</w:t>
            </w:r>
          </w:p>
        </w:tc>
        <w:tc>
          <w:tcPr>
            <w:tcW w:w="992" w:type="dxa"/>
            <w:vMerge w:val="restart"/>
            <w:vAlign w:val="center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7E27EC">
              <w:rPr>
                <w:b/>
                <w:bCs/>
                <w:i/>
                <w:iCs/>
                <w:lang w:val="uk-UA" w:eastAsia="uk-UA"/>
              </w:rPr>
              <w:t xml:space="preserve">Назва завдання </w:t>
            </w:r>
          </w:p>
        </w:tc>
        <w:tc>
          <w:tcPr>
            <w:tcW w:w="1134" w:type="dxa"/>
            <w:vMerge w:val="restart"/>
            <w:vAlign w:val="center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7E27EC">
              <w:rPr>
                <w:b/>
                <w:bCs/>
                <w:i/>
                <w:iCs/>
                <w:lang w:val="uk-UA" w:eastAsia="uk-UA"/>
              </w:rPr>
              <w:t xml:space="preserve">Перелік заходів завдання </w:t>
            </w:r>
          </w:p>
        </w:tc>
        <w:tc>
          <w:tcPr>
            <w:tcW w:w="1560" w:type="dxa"/>
            <w:vMerge w:val="restart"/>
            <w:vAlign w:val="center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7E27EC">
              <w:rPr>
                <w:b/>
                <w:bCs/>
                <w:i/>
                <w:iCs/>
                <w:lang w:val="uk-UA" w:eastAsia="uk-UA"/>
              </w:rPr>
              <w:t xml:space="preserve">Показники виконання заходу, один. виміру </w:t>
            </w:r>
          </w:p>
        </w:tc>
        <w:tc>
          <w:tcPr>
            <w:tcW w:w="2036" w:type="dxa"/>
            <w:gridSpan w:val="2"/>
            <w:vMerge w:val="restart"/>
            <w:vAlign w:val="center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7E27EC">
              <w:rPr>
                <w:b/>
                <w:bCs/>
                <w:i/>
                <w:iCs/>
                <w:lang w:val="uk-UA" w:eastAsia="uk-UA"/>
              </w:rPr>
              <w:t>Виконавець заходу, показника</w:t>
            </w:r>
          </w:p>
        </w:tc>
        <w:tc>
          <w:tcPr>
            <w:tcW w:w="2700" w:type="dxa"/>
            <w:gridSpan w:val="2"/>
            <w:vAlign w:val="center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7E27EC">
              <w:rPr>
                <w:b/>
                <w:bCs/>
                <w:i/>
                <w:iCs/>
                <w:lang w:val="uk-UA" w:eastAsia="uk-UA"/>
              </w:rPr>
              <w:t xml:space="preserve">Фінансування </w:t>
            </w:r>
          </w:p>
        </w:tc>
        <w:tc>
          <w:tcPr>
            <w:tcW w:w="735" w:type="dxa"/>
            <w:vMerge w:val="restart"/>
            <w:vAlign w:val="center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7E27EC">
              <w:rPr>
                <w:b/>
                <w:bCs/>
                <w:i/>
                <w:iCs/>
                <w:lang w:val="uk-UA" w:eastAsia="uk-UA"/>
              </w:rPr>
              <w:t>Очікуваний результат</w:t>
            </w:r>
          </w:p>
        </w:tc>
      </w:tr>
      <w:tr w:rsidR="002F2308" w:rsidRPr="007E27EC">
        <w:trPr>
          <w:cantSplit/>
          <w:trHeight w:val="283"/>
        </w:trPr>
        <w:tc>
          <w:tcPr>
            <w:tcW w:w="851" w:type="dxa"/>
            <w:vMerge/>
            <w:vAlign w:val="center"/>
          </w:tcPr>
          <w:p w:rsidR="002F2308" w:rsidRPr="006C081C" w:rsidRDefault="002F2308" w:rsidP="00A018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:rsidR="002F2308" w:rsidRPr="006C081C" w:rsidRDefault="002F2308" w:rsidP="00A018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2F2308" w:rsidRPr="006C081C" w:rsidRDefault="002F2308" w:rsidP="00A018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vMerge/>
            <w:vAlign w:val="center"/>
          </w:tcPr>
          <w:p w:rsidR="002F2308" w:rsidRPr="006C081C" w:rsidRDefault="002F2308" w:rsidP="00A018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2036" w:type="dxa"/>
            <w:gridSpan w:val="2"/>
            <w:vMerge/>
            <w:vAlign w:val="center"/>
          </w:tcPr>
          <w:p w:rsidR="002F2308" w:rsidRPr="006C081C" w:rsidRDefault="002F2308" w:rsidP="00A018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260" w:type="dxa"/>
            <w:vAlign w:val="center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7E27EC">
              <w:rPr>
                <w:b/>
                <w:bCs/>
                <w:i/>
                <w:iCs/>
                <w:lang w:val="uk-UA" w:eastAsia="uk-UA"/>
              </w:rPr>
              <w:t xml:space="preserve">Джерела* </w:t>
            </w:r>
          </w:p>
        </w:tc>
        <w:tc>
          <w:tcPr>
            <w:tcW w:w="1440" w:type="dxa"/>
            <w:vAlign w:val="center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7E27EC">
              <w:rPr>
                <w:b/>
                <w:bCs/>
                <w:i/>
                <w:iCs/>
                <w:lang w:val="uk-UA" w:eastAsia="uk-UA"/>
              </w:rPr>
              <w:t xml:space="preserve">Обсяги, </w:t>
            </w:r>
          </w:p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7E27EC">
              <w:rPr>
                <w:b/>
                <w:bCs/>
                <w:i/>
                <w:iCs/>
                <w:lang w:val="uk-UA" w:eastAsia="uk-UA"/>
              </w:rPr>
              <w:t>тис. грн.</w:t>
            </w:r>
          </w:p>
        </w:tc>
        <w:tc>
          <w:tcPr>
            <w:tcW w:w="735" w:type="dxa"/>
            <w:vMerge/>
            <w:vAlign w:val="center"/>
          </w:tcPr>
          <w:p w:rsidR="002F2308" w:rsidRPr="006C081C" w:rsidRDefault="002F2308" w:rsidP="00A018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</w:tc>
      </w:tr>
      <w:tr w:rsidR="002F2308" w:rsidRPr="007E27EC">
        <w:trPr>
          <w:cantSplit/>
        </w:trPr>
        <w:tc>
          <w:tcPr>
            <w:tcW w:w="10008" w:type="dxa"/>
            <w:gridSpan w:val="9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E27EC">
              <w:rPr>
                <w:b/>
                <w:bCs/>
                <w:lang w:val="uk-UA" w:eastAsia="uk-UA"/>
              </w:rPr>
              <w:t>2017-2021р.**</w:t>
            </w:r>
          </w:p>
        </w:tc>
      </w:tr>
      <w:tr w:rsidR="002F2308" w:rsidRPr="007E27EC">
        <w:trPr>
          <w:cantSplit/>
          <w:trHeight w:val="358"/>
        </w:trPr>
        <w:tc>
          <w:tcPr>
            <w:tcW w:w="10008" w:type="dxa"/>
            <w:gridSpan w:val="9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27EC">
              <w:rPr>
                <w:b/>
                <w:bCs/>
                <w:lang w:val="uk-UA" w:eastAsia="uk-UA"/>
              </w:rPr>
              <w:t>2017р.</w:t>
            </w:r>
          </w:p>
        </w:tc>
      </w:tr>
      <w:tr w:rsidR="002F2308" w:rsidRPr="007E27EC">
        <w:trPr>
          <w:cantSplit/>
          <w:trHeight w:val="2099"/>
        </w:trPr>
        <w:tc>
          <w:tcPr>
            <w:tcW w:w="851" w:type="dxa"/>
            <w:vMerge w:val="restart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 w:val="restart"/>
          </w:tcPr>
          <w:p w:rsidR="002F2308" w:rsidRPr="006C081C" w:rsidRDefault="002F2308" w:rsidP="00A0189F">
            <w:pPr>
              <w:shd w:val="clear" w:color="auto" w:fill="FFFFFF"/>
              <w:tabs>
                <w:tab w:val="left" w:pos="115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36" w:type="dxa"/>
            <w:gridSpan w:val="2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0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E27EC">
              <w:rPr>
                <w:lang w:val="uk-UA" w:eastAsia="uk-UA"/>
              </w:rPr>
              <w:t xml:space="preserve"> </w:t>
            </w:r>
          </w:p>
        </w:tc>
        <w:tc>
          <w:tcPr>
            <w:tcW w:w="1440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F2308" w:rsidRPr="007E27EC">
        <w:trPr>
          <w:cantSplit/>
          <w:trHeight w:val="70"/>
        </w:trPr>
        <w:tc>
          <w:tcPr>
            <w:tcW w:w="851" w:type="dxa"/>
            <w:vMerge/>
            <w:vAlign w:val="center"/>
          </w:tcPr>
          <w:p w:rsidR="002F2308" w:rsidRPr="006C081C" w:rsidRDefault="002F2308" w:rsidP="00A018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:rsidR="002F2308" w:rsidRPr="006C081C" w:rsidRDefault="002F2308" w:rsidP="00A018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8165" w:type="dxa"/>
            <w:gridSpan w:val="7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F2308" w:rsidRPr="007E27EC">
        <w:trPr>
          <w:cantSplit/>
          <w:trHeight w:val="300"/>
        </w:trPr>
        <w:tc>
          <w:tcPr>
            <w:tcW w:w="6029" w:type="dxa"/>
            <w:gridSpan w:val="5"/>
            <w:vAlign w:val="center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E27EC">
              <w:rPr>
                <w:b/>
                <w:bCs/>
                <w:lang w:val="uk-UA" w:eastAsia="uk-UA"/>
              </w:rPr>
              <w:t xml:space="preserve">Усього на етап або на програму:  </w:t>
            </w:r>
          </w:p>
        </w:tc>
        <w:tc>
          <w:tcPr>
            <w:tcW w:w="3979" w:type="dxa"/>
            <w:gridSpan w:val="4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</w:tbl>
    <w:p w:rsidR="002F2308" w:rsidRPr="006C081C" w:rsidRDefault="002F2308" w:rsidP="00A0189F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ind w:hanging="650"/>
        <w:rPr>
          <w:lang w:val="uk-UA" w:eastAsia="uk-UA"/>
        </w:rPr>
      </w:pPr>
    </w:p>
    <w:p w:rsidR="002F2308" w:rsidRPr="006C081C" w:rsidRDefault="002F2308" w:rsidP="00A0189F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ind w:hanging="650"/>
        <w:rPr>
          <w:lang w:val="uk-UA" w:eastAsia="uk-UA"/>
        </w:rPr>
      </w:pPr>
      <w:r w:rsidRPr="006C081C">
        <w:rPr>
          <w:lang w:val="uk-UA" w:eastAsia="uk-UA"/>
        </w:rPr>
        <w:t xml:space="preserve">*  вказується кожне джерело окремо. </w:t>
      </w:r>
    </w:p>
    <w:p w:rsidR="002F2308" w:rsidRPr="006C081C" w:rsidRDefault="002F2308" w:rsidP="00A0189F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rPr>
          <w:lang w:val="uk-UA" w:eastAsia="uk-UA"/>
        </w:rPr>
      </w:pPr>
      <w:r w:rsidRPr="006C081C">
        <w:rPr>
          <w:lang w:val="uk-UA" w:eastAsia="uk-UA"/>
        </w:rPr>
        <w:t xml:space="preserve">** завдання, заходи та показники вказуються на кожний рік програми. </w:t>
      </w:r>
    </w:p>
    <w:p w:rsidR="002F2308" w:rsidRPr="006C081C" w:rsidRDefault="002F2308" w:rsidP="00A0189F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uk-UA" w:eastAsia="uk-UA"/>
        </w:rPr>
      </w:pPr>
    </w:p>
    <w:p w:rsidR="002F2308" w:rsidRPr="006C081C" w:rsidRDefault="002F2308" w:rsidP="00A0189F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rPr>
          <w:b/>
          <w:bCs/>
          <w:lang w:val="uk-UA" w:eastAsia="uk-UA"/>
        </w:rPr>
      </w:pPr>
    </w:p>
    <w:p w:rsidR="002F2308" w:rsidRPr="006C081C" w:rsidRDefault="002F2308" w:rsidP="00C47BB2">
      <w:pPr>
        <w:tabs>
          <w:tab w:val="left" w:pos="115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lang w:val="uk-UA" w:eastAsia="uk-UA"/>
        </w:rPr>
        <w:t xml:space="preserve">9. </w:t>
      </w:r>
      <w:r w:rsidRPr="006C081C">
        <w:rPr>
          <w:rFonts w:ascii="Times New Roman" w:hAnsi="Times New Roman" w:cs="Times New Roman"/>
          <w:b/>
          <w:bCs/>
          <w:lang w:val="uk-UA" w:eastAsia="uk-UA"/>
        </w:rPr>
        <w:t xml:space="preserve">Ресурсне забезпечення </w:t>
      </w:r>
      <w:r w:rsidRPr="006C081C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Програми  фінансової підтримки комунальних підприємств та здійснення внесків до статутних фондів (поповнення Статутного фонду) комунальних підприємств Білоцерківської міської ради на 2017 рік  та прогноз на 2018-2021 рр.</w:t>
      </w:r>
    </w:p>
    <w:p w:rsidR="002F2308" w:rsidRDefault="002F2308" w:rsidP="00A0189F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rPr>
          <w:lang w:val="uk-UA" w:eastAsia="uk-UA"/>
        </w:rPr>
      </w:pPr>
    </w:p>
    <w:p w:rsidR="002F2308" w:rsidRPr="006C081C" w:rsidRDefault="002F2308" w:rsidP="00A0189F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rPr>
          <w:lang w:val="uk-UA" w:eastAsia="uk-UA"/>
        </w:rPr>
      </w:pPr>
      <w:r w:rsidRPr="006C081C">
        <w:rPr>
          <w:lang w:val="uk-UA" w:eastAsia="uk-UA"/>
        </w:rPr>
        <w:t>тис. грн.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742"/>
        <w:gridCol w:w="992"/>
        <w:gridCol w:w="851"/>
        <w:gridCol w:w="1134"/>
        <w:gridCol w:w="1134"/>
        <w:gridCol w:w="1786"/>
      </w:tblGrid>
      <w:tr w:rsidR="002F2308" w:rsidRPr="007E27EC">
        <w:trPr>
          <w:cantSplit/>
          <w:trHeight w:val="722"/>
        </w:trPr>
        <w:tc>
          <w:tcPr>
            <w:tcW w:w="3369" w:type="dxa"/>
            <w:vAlign w:val="center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27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742" w:type="dxa"/>
            <w:vAlign w:val="center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27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2017 рік</w:t>
            </w:r>
          </w:p>
        </w:tc>
        <w:tc>
          <w:tcPr>
            <w:tcW w:w="992" w:type="dxa"/>
            <w:vAlign w:val="center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27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2018 рік</w:t>
            </w:r>
          </w:p>
        </w:tc>
        <w:tc>
          <w:tcPr>
            <w:tcW w:w="851" w:type="dxa"/>
            <w:vAlign w:val="center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27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2019 рік</w:t>
            </w:r>
          </w:p>
        </w:tc>
        <w:tc>
          <w:tcPr>
            <w:tcW w:w="1134" w:type="dxa"/>
          </w:tcPr>
          <w:p w:rsidR="002F2308" w:rsidRPr="007E27E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2F2308" w:rsidRPr="007E27E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27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2020</w:t>
            </w:r>
          </w:p>
          <w:p w:rsidR="002F2308" w:rsidRPr="007E27E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27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134" w:type="dxa"/>
          </w:tcPr>
          <w:p w:rsidR="002F2308" w:rsidRPr="007E27E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2F2308" w:rsidRPr="007E27E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27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2021</w:t>
            </w:r>
          </w:p>
          <w:p w:rsidR="002F2308" w:rsidRPr="007E27E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27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786" w:type="dxa"/>
            <w:vAlign w:val="center"/>
          </w:tcPr>
          <w:p w:rsidR="002F2308" w:rsidRPr="007E27E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27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Усього витрат на</w:t>
            </w:r>
          </w:p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27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виконання програми</w:t>
            </w:r>
          </w:p>
        </w:tc>
      </w:tr>
      <w:tr w:rsidR="002F2308" w:rsidRPr="007E27EC">
        <w:tc>
          <w:tcPr>
            <w:tcW w:w="3369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42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86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F2308" w:rsidRPr="007E27EC">
        <w:tc>
          <w:tcPr>
            <w:tcW w:w="3369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42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86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F2308" w:rsidRPr="007E27EC">
        <w:tc>
          <w:tcPr>
            <w:tcW w:w="3369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42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86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F2308" w:rsidRPr="007E27EC">
        <w:tc>
          <w:tcPr>
            <w:tcW w:w="3369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42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86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F2308" w:rsidRPr="007E27EC">
        <w:tc>
          <w:tcPr>
            <w:tcW w:w="3369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42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86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F2308" w:rsidRPr="007E27EC">
        <w:tc>
          <w:tcPr>
            <w:tcW w:w="3369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42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86" w:type="dxa"/>
          </w:tcPr>
          <w:p w:rsidR="002F2308" w:rsidRPr="006C081C" w:rsidRDefault="002F2308" w:rsidP="00A0189F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2F2308" w:rsidRDefault="002F2308" w:rsidP="00AC167D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ind w:hanging="130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</w:p>
    <w:p w:rsidR="002F2308" w:rsidRPr="00C47BB2" w:rsidRDefault="002F2308" w:rsidP="00AC167D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ind w:hanging="130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Міський голова                                                                                                  Г.А. Дикий</w:t>
      </w:r>
    </w:p>
    <w:sectPr w:rsidR="002F2308" w:rsidRPr="00C47BB2" w:rsidSect="00E0746B">
      <w:headerReference w:type="default" r:id="rId7"/>
      <w:pgSz w:w="11906" w:h="16838"/>
      <w:pgMar w:top="142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FA4" w:rsidRDefault="006C2FA4" w:rsidP="00FB0C02">
      <w:pPr>
        <w:spacing w:after="0" w:line="240" w:lineRule="auto"/>
      </w:pPr>
      <w:r>
        <w:separator/>
      </w:r>
    </w:p>
  </w:endnote>
  <w:endnote w:type="continuationSeparator" w:id="0">
    <w:p w:rsidR="006C2FA4" w:rsidRDefault="006C2FA4" w:rsidP="00FB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FA4" w:rsidRDefault="006C2FA4" w:rsidP="00FB0C02">
      <w:pPr>
        <w:spacing w:after="0" w:line="240" w:lineRule="auto"/>
      </w:pPr>
      <w:r>
        <w:separator/>
      </w:r>
    </w:p>
  </w:footnote>
  <w:footnote w:type="continuationSeparator" w:id="0">
    <w:p w:rsidR="006C2FA4" w:rsidRDefault="006C2FA4" w:rsidP="00FB0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08" w:rsidRDefault="002F2308" w:rsidP="00E0746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777B">
      <w:rPr>
        <w:rStyle w:val="a7"/>
        <w:noProof/>
      </w:rPr>
      <w:t>5</w:t>
    </w:r>
    <w:r>
      <w:rPr>
        <w:rStyle w:val="a7"/>
      </w:rPr>
      <w:fldChar w:fldCharType="end"/>
    </w:r>
  </w:p>
  <w:p w:rsidR="002F2308" w:rsidRDefault="002F23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43D9F"/>
    <w:multiLevelType w:val="hybridMultilevel"/>
    <w:tmpl w:val="07C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F57BF"/>
    <w:multiLevelType w:val="hybridMultilevel"/>
    <w:tmpl w:val="5E765536"/>
    <w:lvl w:ilvl="0" w:tplc="F4EC9F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6B"/>
    <w:rsid w:val="000144B2"/>
    <w:rsid w:val="00033FC6"/>
    <w:rsid w:val="00041508"/>
    <w:rsid w:val="000839E2"/>
    <w:rsid w:val="00085EA3"/>
    <w:rsid w:val="000B62E6"/>
    <w:rsid w:val="000B7883"/>
    <w:rsid w:val="00126EC9"/>
    <w:rsid w:val="00152CB2"/>
    <w:rsid w:val="00161176"/>
    <w:rsid w:val="001C7998"/>
    <w:rsid w:val="001F4F91"/>
    <w:rsid w:val="002332E2"/>
    <w:rsid w:val="0023587E"/>
    <w:rsid w:val="00291A47"/>
    <w:rsid w:val="002B184A"/>
    <w:rsid w:val="002D7A24"/>
    <w:rsid w:val="002F1E54"/>
    <w:rsid w:val="002F2308"/>
    <w:rsid w:val="003007C7"/>
    <w:rsid w:val="00321AD7"/>
    <w:rsid w:val="003338E1"/>
    <w:rsid w:val="00340A92"/>
    <w:rsid w:val="0034402E"/>
    <w:rsid w:val="00347727"/>
    <w:rsid w:val="00354F6B"/>
    <w:rsid w:val="00373B88"/>
    <w:rsid w:val="003B6559"/>
    <w:rsid w:val="003D6BC5"/>
    <w:rsid w:val="003E02FE"/>
    <w:rsid w:val="003F7475"/>
    <w:rsid w:val="00400BDE"/>
    <w:rsid w:val="0041432E"/>
    <w:rsid w:val="00423E96"/>
    <w:rsid w:val="00435442"/>
    <w:rsid w:val="004451A4"/>
    <w:rsid w:val="0045064B"/>
    <w:rsid w:val="00473103"/>
    <w:rsid w:val="00487054"/>
    <w:rsid w:val="00495008"/>
    <w:rsid w:val="004F19CF"/>
    <w:rsid w:val="004F782B"/>
    <w:rsid w:val="0052479A"/>
    <w:rsid w:val="00530F2F"/>
    <w:rsid w:val="00570268"/>
    <w:rsid w:val="0058399A"/>
    <w:rsid w:val="005A3FF7"/>
    <w:rsid w:val="005B13AD"/>
    <w:rsid w:val="005C6FD9"/>
    <w:rsid w:val="00625087"/>
    <w:rsid w:val="00670E4A"/>
    <w:rsid w:val="006713AC"/>
    <w:rsid w:val="006A5323"/>
    <w:rsid w:val="006C081C"/>
    <w:rsid w:val="006C2FA4"/>
    <w:rsid w:val="0072133F"/>
    <w:rsid w:val="00740CFB"/>
    <w:rsid w:val="00757DF3"/>
    <w:rsid w:val="007710B9"/>
    <w:rsid w:val="00780089"/>
    <w:rsid w:val="007823DF"/>
    <w:rsid w:val="007962CE"/>
    <w:rsid w:val="007A15B2"/>
    <w:rsid w:val="007A2B6C"/>
    <w:rsid w:val="007B4A46"/>
    <w:rsid w:val="007C6648"/>
    <w:rsid w:val="007E1A8B"/>
    <w:rsid w:val="007E27DC"/>
    <w:rsid w:val="007E27EC"/>
    <w:rsid w:val="007F2C17"/>
    <w:rsid w:val="00801449"/>
    <w:rsid w:val="00806F7E"/>
    <w:rsid w:val="0089285E"/>
    <w:rsid w:val="00893490"/>
    <w:rsid w:val="008D052A"/>
    <w:rsid w:val="008D4787"/>
    <w:rsid w:val="008F083C"/>
    <w:rsid w:val="008F1500"/>
    <w:rsid w:val="008F66E8"/>
    <w:rsid w:val="00906791"/>
    <w:rsid w:val="0092413D"/>
    <w:rsid w:val="0094773E"/>
    <w:rsid w:val="009B20B9"/>
    <w:rsid w:val="00A0189F"/>
    <w:rsid w:val="00A019A8"/>
    <w:rsid w:val="00A10E03"/>
    <w:rsid w:val="00A6004D"/>
    <w:rsid w:val="00A62F19"/>
    <w:rsid w:val="00A82A80"/>
    <w:rsid w:val="00A85044"/>
    <w:rsid w:val="00A928D4"/>
    <w:rsid w:val="00AA02A5"/>
    <w:rsid w:val="00AB5C6C"/>
    <w:rsid w:val="00AC167D"/>
    <w:rsid w:val="00AC20E4"/>
    <w:rsid w:val="00AC24B4"/>
    <w:rsid w:val="00B854AA"/>
    <w:rsid w:val="00B8750D"/>
    <w:rsid w:val="00BD1B5B"/>
    <w:rsid w:val="00BE0499"/>
    <w:rsid w:val="00C06478"/>
    <w:rsid w:val="00C20A95"/>
    <w:rsid w:val="00C32F13"/>
    <w:rsid w:val="00C47BB2"/>
    <w:rsid w:val="00CD15D3"/>
    <w:rsid w:val="00CD2373"/>
    <w:rsid w:val="00CE3318"/>
    <w:rsid w:val="00CE777B"/>
    <w:rsid w:val="00D076D5"/>
    <w:rsid w:val="00D16B84"/>
    <w:rsid w:val="00D27A0A"/>
    <w:rsid w:val="00D34624"/>
    <w:rsid w:val="00D36B61"/>
    <w:rsid w:val="00D47046"/>
    <w:rsid w:val="00D61F13"/>
    <w:rsid w:val="00D671A2"/>
    <w:rsid w:val="00D7090B"/>
    <w:rsid w:val="00D85951"/>
    <w:rsid w:val="00DB109F"/>
    <w:rsid w:val="00DC0E72"/>
    <w:rsid w:val="00DD3FA8"/>
    <w:rsid w:val="00DE47EE"/>
    <w:rsid w:val="00DF5454"/>
    <w:rsid w:val="00E0746B"/>
    <w:rsid w:val="00E12F3B"/>
    <w:rsid w:val="00E558E7"/>
    <w:rsid w:val="00E865FC"/>
    <w:rsid w:val="00E96A14"/>
    <w:rsid w:val="00EA6966"/>
    <w:rsid w:val="00EB58F7"/>
    <w:rsid w:val="00ED0328"/>
    <w:rsid w:val="00ED640F"/>
    <w:rsid w:val="00EE1123"/>
    <w:rsid w:val="00F136E4"/>
    <w:rsid w:val="00F5544E"/>
    <w:rsid w:val="00F55C5B"/>
    <w:rsid w:val="00F66CAD"/>
    <w:rsid w:val="00F80D47"/>
    <w:rsid w:val="00F84D88"/>
    <w:rsid w:val="00F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BF2CC4-6F7D-412A-8BAF-D5B4816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00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D34624"/>
    <w:pPr>
      <w:keepNext/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D34624"/>
    <w:pPr>
      <w:keepNext/>
      <w:spacing w:after="0" w:line="240" w:lineRule="auto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34624"/>
    <w:pPr>
      <w:keepNext/>
      <w:spacing w:after="0" w:line="240" w:lineRule="auto"/>
      <w:jc w:val="center"/>
      <w:outlineLvl w:val="4"/>
    </w:pPr>
    <w:rPr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D34624"/>
    <w:pPr>
      <w:keepNext/>
      <w:spacing w:after="0" w:line="240" w:lineRule="auto"/>
      <w:jc w:val="center"/>
      <w:outlineLvl w:val="6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62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3462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3462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3462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354F6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 Spacing"/>
    <w:uiPriority w:val="99"/>
    <w:qFormat/>
    <w:rsid w:val="00CD2373"/>
    <w:rPr>
      <w:rFonts w:cs="Calibri"/>
    </w:rPr>
  </w:style>
  <w:style w:type="paragraph" w:styleId="a5">
    <w:name w:val="header"/>
    <w:basedOn w:val="a"/>
    <w:link w:val="a6"/>
    <w:uiPriority w:val="99"/>
    <w:rsid w:val="00D076D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076D5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076D5"/>
  </w:style>
  <w:style w:type="table" w:customStyle="1" w:styleId="2">
    <w:name w:val="Сетка таблицы2"/>
    <w:uiPriority w:val="99"/>
    <w:rsid w:val="00D34624"/>
    <w:rPr>
      <w:rFonts w:cs="Calibri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D3462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D3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34624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D34624"/>
    <w:pPr>
      <w:spacing w:after="120" w:line="240" w:lineRule="auto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D3462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locked/>
    <w:rsid w:val="004F782B"/>
    <w:rPr>
      <w:rFonts w:ascii="Courier New" w:hAnsi="Courier New" w:cs="Courier New"/>
      <w:lang w:eastAsia="ru-RU"/>
    </w:rPr>
  </w:style>
  <w:style w:type="paragraph" w:styleId="ad">
    <w:name w:val="Plain Text"/>
    <w:basedOn w:val="a"/>
    <w:link w:val="ae"/>
    <w:uiPriority w:val="99"/>
    <w:rsid w:val="004F782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locked/>
    <w:rsid w:val="00B8750D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4F782B"/>
    <w:rPr>
      <w:rFonts w:ascii="Consolas" w:hAnsi="Consolas" w:cs="Consolas"/>
      <w:sz w:val="21"/>
      <w:szCs w:val="21"/>
    </w:rPr>
  </w:style>
  <w:style w:type="paragraph" w:styleId="af">
    <w:name w:val="footer"/>
    <w:basedOn w:val="a"/>
    <w:link w:val="af0"/>
    <w:uiPriority w:val="99"/>
    <w:rsid w:val="007E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E27DC"/>
  </w:style>
  <w:style w:type="paragraph" w:styleId="af1">
    <w:name w:val="List Paragraph"/>
    <w:basedOn w:val="a"/>
    <w:uiPriority w:val="99"/>
    <w:qFormat/>
    <w:rsid w:val="00F55C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8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8387</Words>
  <Characters>4781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БЦ09</cp:lastModifiedBy>
  <cp:revision>3</cp:revision>
  <cp:lastPrinted>2017-05-25T14:30:00Z</cp:lastPrinted>
  <dcterms:created xsi:type="dcterms:W3CDTF">2017-05-25T14:45:00Z</dcterms:created>
  <dcterms:modified xsi:type="dcterms:W3CDTF">2017-06-06T06:00:00Z</dcterms:modified>
</cp:coreProperties>
</file>